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98.4727235273881" w:lineRule="auto"/>
        <w:rPr/>
      </w:pPr>
      <w:r w:rsidDel="00000000" w:rsidR="00000000" w:rsidRPr="00000000">
        <w:rPr>
          <w:rtl w:val="0"/>
        </w:rPr>
      </w:r>
    </w:p>
    <w:tbl>
      <w:tblPr>
        <w:tblStyle w:val="Table1"/>
        <w:tblpPr w:leftFromText="180" w:rightFromText="180" w:topFromText="180" w:bottomFromText="180" w:vertAnchor="text" w:horzAnchor="text" w:tblpX="15" w:tblpY="0"/>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0"/>
        <w:tblGridChange w:id="0">
          <w:tblGrid>
            <w:gridCol w:w="9450"/>
          </w:tblGrid>
        </w:tblGridChange>
      </w:tblGrid>
      <w:tr>
        <w:trPr>
          <w:cantSplit w:val="0"/>
          <w:tblHeader w:val="0"/>
        </w:trPr>
        <w:tc>
          <w:tcPr>
            <w:tcMar>
              <w:top w:w="0.0" w:type="dxa"/>
              <w:bottom w:w="0.0" w:type="dxa"/>
            </w:tcMar>
          </w:tcPr>
          <w:p w:rsidR="00000000" w:rsidDel="00000000" w:rsidP="00000000" w:rsidRDefault="00000000" w:rsidRPr="00000000" w14:paraId="00000002">
            <w:pPr>
              <w:rPr>
                <w:rFonts w:ascii="Courier New" w:cs="Courier New" w:eastAsia="Courier New" w:hAnsi="Courier New"/>
                <w:color w:val="0000ff"/>
                <w:sz w:val="20"/>
                <w:szCs w:val="20"/>
              </w:rPr>
            </w:pPr>
            <w:r w:rsidDel="00000000" w:rsidR="00000000" w:rsidRPr="00000000">
              <w:rPr>
                <w:rFonts w:ascii="Courier New" w:cs="Courier New" w:eastAsia="Courier New" w:hAnsi="Courier New"/>
                <w:color w:val="0000ff"/>
                <w:sz w:val="20"/>
                <w:szCs w:val="20"/>
                <w:rtl w:val="0"/>
              </w:rPr>
              <w:t xml:space="preserve"> </w:t>
            </w:r>
          </w:p>
        </w:tc>
      </w:tr>
      <w:tr>
        <w:trPr>
          <w:cantSplit w:val="0"/>
          <w:tblHeader w:val="0"/>
        </w:trPr>
        <w:tc>
          <w:tcPr>
            <w:tcMar>
              <w:top w:w="0.0" w:type="dxa"/>
              <w:bottom w:w="0.0" w:type="dxa"/>
            </w:tcMar>
          </w:tcPr>
          <w:p w:rsidR="00000000" w:rsidDel="00000000" w:rsidP="00000000" w:rsidRDefault="00000000" w:rsidRPr="00000000" w14:paraId="00000003">
            <w:pPr>
              <w:jc w:val="center"/>
              <w:rPr>
                <w:rFonts w:ascii="Courier New" w:cs="Courier New" w:eastAsia="Courier New" w:hAnsi="Courier New"/>
                <w:b w:val="1"/>
                <w:color w:val="0000ff"/>
                <w:sz w:val="40"/>
                <w:szCs w:val="40"/>
              </w:rPr>
            </w:pPr>
            <w:r w:rsidDel="00000000" w:rsidR="00000000" w:rsidRPr="00000000">
              <w:rPr>
                <w:rFonts w:ascii="Courier New" w:cs="Courier New" w:eastAsia="Courier New" w:hAnsi="Courier New"/>
                <w:color w:val="0000ff"/>
                <w:sz w:val="40"/>
                <w:szCs w:val="40"/>
                <w:rtl w:val="0"/>
              </w:rPr>
              <w:t xml:space="preserve"> </w:t>
            </w:r>
            <w:r w:rsidDel="00000000" w:rsidR="00000000" w:rsidRPr="00000000">
              <w:rPr>
                <w:rFonts w:ascii="Courier New" w:cs="Courier New" w:eastAsia="Courier New" w:hAnsi="Courier New"/>
                <w:b w:val="1"/>
                <w:color w:val="0000ff"/>
                <w:sz w:val="40"/>
                <w:szCs w:val="40"/>
                <w:rtl w:val="0"/>
              </w:rPr>
              <w:t xml:space="preserve">Компания «ВИАДУК ТУР»</w:t>
            </w:r>
          </w:p>
        </w:tc>
      </w:tr>
      <w:tr>
        <w:trPr>
          <w:cantSplit w:val="0"/>
          <w:tblHeader w:val="0"/>
        </w:trPr>
        <w:tc>
          <w:tcPr>
            <w:tcBorders>
              <w:bottom w:color="000000" w:space="0" w:sz="8" w:val="single"/>
            </w:tcBorders>
            <w:tcMar>
              <w:top w:w="0.0" w:type="dxa"/>
              <w:bottom w:w="0.0" w:type="dxa"/>
            </w:tcMar>
          </w:tcPr>
          <w:p w:rsidR="00000000" w:rsidDel="00000000" w:rsidP="00000000" w:rsidRDefault="00000000" w:rsidRPr="00000000" w14:paraId="00000004">
            <w:pPr>
              <w:jc w:val="right"/>
              <w:rPr>
                <w:rFonts w:ascii="Times New Roman" w:cs="Times New Roman" w:eastAsia="Times New Roman" w:hAnsi="Times New Roman"/>
                <w:b w:val="1"/>
                <w:i w:val="1"/>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 </w:t>
            </w:r>
            <w:r w:rsidDel="00000000" w:rsidR="00000000" w:rsidRPr="00000000">
              <w:rPr>
                <w:rFonts w:ascii="Times New Roman" w:cs="Times New Roman" w:eastAsia="Times New Roman" w:hAnsi="Times New Roman"/>
                <w:b w:val="1"/>
                <w:i w:val="1"/>
                <w:color w:val="0000ff"/>
                <w:sz w:val="32"/>
                <w:szCs w:val="32"/>
                <w:rtl w:val="0"/>
              </w:rPr>
              <w:t xml:space="preserve">«Ваш выбор -  РОССИЯ!»</w:t>
            </w:r>
          </w:p>
        </w:tc>
      </w:tr>
      <w:tr>
        <w:trPr>
          <w:cantSplit w:val="0"/>
          <w:trHeight w:val="825" w:hRule="atLeast"/>
          <w:tblHeader w:val="0"/>
        </w:trPr>
        <w:tc>
          <w:tcPr>
            <w:tcBorders>
              <w:top w:color="000000" w:space="0" w:sz="8" w:val="single"/>
            </w:tcBorders>
            <w:tcMar>
              <w:top w:w="0.0" w:type="dxa"/>
              <w:bottom w:w="0.0" w:type="dxa"/>
            </w:tcMar>
          </w:tcPr>
          <w:p w:rsidR="00000000" w:rsidDel="00000000" w:rsidP="00000000" w:rsidRDefault="00000000" w:rsidRPr="00000000" w14:paraId="00000005">
            <w:pPr>
              <w:jc w:val="center"/>
              <w:rPr>
                <w:rFonts w:ascii="Courier New" w:cs="Courier New" w:eastAsia="Courier New" w:hAnsi="Courier New"/>
                <w:color w:val="0000ff"/>
              </w:rPr>
            </w:pPr>
            <w:r w:rsidDel="00000000" w:rsidR="00000000" w:rsidRPr="00000000">
              <w:rPr>
                <w:rFonts w:ascii="Courier New" w:cs="Courier New" w:eastAsia="Courier New" w:hAnsi="Courier New"/>
                <w:color w:val="0000ff"/>
                <w:rtl w:val="0"/>
              </w:rPr>
              <w:t xml:space="preserve"> </w:t>
            </w:r>
          </w:p>
          <w:p w:rsidR="00000000" w:rsidDel="00000000" w:rsidP="00000000" w:rsidRDefault="00000000" w:rsidRPr="00000000" w14:paraId="00000006">
            <w:pPr>
              <w:jc w:val="center"/>
              <w:rPr>
                <w:rFonts w:ascii="Courier New" w:cs="Courier New" w:eastAsia="Courier New" w:hAnsi="Courier New"/>
                <w:color w:val="1f497d"/>
              </w:rPr>
            </w:pPr>
            <w:r w:rsidDel="00000000" w:rsidR="00000000" w:rsidRPr="00000000">
              <w:rPr>
                <w:rFonts w:ascii="Courier New" w:cs="Courier New" w:eastAsia="Courier New" w:hAnsi="Courier New"/>
                <w:color w:val="1f497d"/>
                <w:rtl w:val="0"/>
              </w:rPr>
              <w:t xml:space="preserve">105064, Москва, Кривоколенный пер. д. 5, с.4</w:t>
            </w:r>
          </w:p>
          <w:p w:rsidR="00000000" w:rsidDel="00000000" w:rsidP="00000000" w:rsidRDefault="00000000" w:rsidRPr="00000000" w14:paraId="00000007">
            <w:pPr>
              <w:rPr>
                <w:rFonts w:ascii="Times New Roman" w:cs="Times New Roman" w:eastAsia="Times New Roman" w:hAnsi="Times New Roman"/>
                <w:color w:val="1155cc"/>
                <w:u w:val="single"/>
              </w:rPr>
            </w:pPr>
            <w:r w:rsidDel="00000000" w:rsidR="00000000" w:rsidRPr="00000000">
              <w:rPr>
                <w:rFonts w:ascii="Courier New" w:cs="Courier New" w:eastAsia="Courier New" w:hAnsi="Courier New"/>
                <w:color w:val="1f497d"/>
                <w:rtl w:val="0"/>
              </w:rPr>
              <w:t xml:space="preserve">Тел./факс: (495)545-0621, 961-6127    E-mail: </w:t>
            </w:r>
            <w:r w:rsidDel="00000000" w:rsidR="00000000" w:rsidRPr="00000000">
              <w:rPr>
                <w:rFonts w:ascii="Times New Roman" w:cs="Times New Roman" w:eastAsia="Times New Roman" w:hAnsi="Times New Roman"/>
                <w:rtl w:val="0"/>
              </w:rPr>
              <w:t xml:space="preserve">viaduk@aha.ru</w:t>
            </w:r>
            <w:r w:rsidDel="00000000" w:rsidR="00000000" w:rsidRPr="00000000">
              <w:rPr>
                <w:rFonts w:ascii="Courier New" w:cs="Courier New" w:eastAsia="Courier New" w:hAnsi="Courier New"/>
                <w:color w:val="1f497d"/>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www.viaduk.ru</w:t>
              </w:r>
            </w:hyperlink>
            <w:r w:rsidDel="00000000" w:rsidR="00000000" w:rsidRPr="00000000">
              <w:rPr>
                <w:rtl w:val="0"/>
              </w:rPr>
            </w:r>
          </w:p>
        </w:tc>
      </w:tr>
    </w:tbl>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https://www.viaduk.ru/travel/vykhodnye-v-smolenske/</w:t>
        </w:r>
      </w:hyperlink>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РЕГУЛЯРНЫЙ ТУР в Смоленск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center"/>
        <w:rPr>
          <w:b w:val="1"/>
          <w:sz w:val="26"/>
          <w:szCs w:val="26"/>
        </w:rPr>
      </w:pPr>
      <w:r w:rsidDel="00000000" w:rsidR="00000000" w:rsidRPr="00000000">
        <w:rPr>
          <w:b w:val="1"/>
          <w:sz w:val="26"/>
          <w:szCs w:val="26"/>
          <w:rtl w:val="0"/>
        </w:rPr>
        <w:t xml:space="preserve">Тур на 2 дня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center"/>
        <w:rPr>
          <w:b w:val="1"/>
          <w:i w:val="1"/>
          <w:sz w:val="24"/>
          <w:szCs w:val="24"/>
        </w:rPr>
      </w:pPr>
      <w:r w:rsidDel="00000000" w:rsidR="00000000" w:rsidRPr="00000000">
        <w:rPr>
          <w:b w:val="1"/>
          <w:sz w:val="32"/>
          <w:szCs w:val="32"/>
          <w:rtl w:val="0"/>
        </w:rPr>
        <w:t xml:space="preserve">Смоленск — Талашкино — Фленово </w:t>
      </w:r>
      <w:r w:rsidDel="00000000" w:rsidR="00000000" w:rsidRPr="00000000">
        <w:rPr>
          <w:b w:val="1"/>
          <w:sz w:val="28"/>
          <w:szCs w:val="28"/>
          <w:rtl w:val="0"/>
        </w:rPr>
        <w:t xml:space="preserve"> </w:t>
        <w:br w:type="textWrapping"/>
      </w:r>
      <w:r w:rsidDel="00000000" w:rsidR="00000000" w:rsidRPr="00000000">
        <w:rPr>
          <w:b w:val="1"/>
          <w:i w:val="1"/>
          <w:sz w:val="24"/>
          <w:szCs w:val="24"/>
          <w:rtl w:val="0"/>
        </w:rPr>
        <w:t xml:space="preserve">«УИК-ЭНД в Смоленске»</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center"/>
        <w:rPr>
          <w:b w:val="1"/>
          <w:sz w:val="26"/>
          <w:szCs w:val="26"/>
        </w:rPr>
      </w:pPr>
      <w:r w:rsidDel="00000000" w:rsidR="00000000" w:rsidRPr="00000000">
        <w:rPr>
          <w:b w:val="1"/>
          <w:sz w:val="26"/>
          <w:szCs w:val="26"/>
          <w:rtl w:val="0"/>
        </w:rPr>
        <w:t xml:space="preserve">2 дня — 1 ночь</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left"/>
        <w:rPr>
          <w:b w:val="1"/>
          <w:sz w:val="26"/>
          <w:szCs w:val="26"/>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jc w:val="center"/>
        <w:rPr>
          <w:b w:val="1"/>
          <w:sz w:val="26"/>
          <w:szCs w:val="26"/>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0"/>
          <w:szCs w:val="20"/>
          <w:rtl w:val="0"/>
        </w:rPr>
        <w:t xml:space="preserve">ЗАЕЗДЫ:</w:t>
      </w:r>
      <w:r w:rsidDel="00000000" w:rsidR="00000000" w:rsidRPr="00000000">
        <w:rPr>
          <w:sz w:val="20"/>
          <w:szCs w:val="20"/>
          <w:rtl w:val="0"/>
        </w:rPr>
        <w:t xml:space="preserve"> </w:t>
      </w:r>
      <w:r w:rsidDel="00000000" w:rsidR="00000000" w:rsidRPr="00000000">
        <w:rPr>
          <w:rtl w:val="0"/>
        </w:rPr>
        <w:t xml:space="preserve">каждую субботу</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Январь: 4-5, 11-12, 18-19, 25-26</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Февраль: 1-2, 8-9, 15-16, 22-23</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Март: 1-2, 8-9, 15-16, 22-23, 29-30</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Апрель: 5-6, 12-13, 19-20, 26-27</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Май: 3-4, 10-11, 17-18, 24-25, 31.05-1.06</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Июнь: 7-8, 14-15, 21-22, 28-29</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Июль: 5-6, 12-13, 19-20, 26-27</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Август: 2-3, 9-10, 16-17, 23-24, 30-31</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Сентябрь: 6-7, 13-14, 20-21, 27-28</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Октябрь: 4-5, 11-12, 18-19, 25-26</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Ноябрь: 1-2, 8-9, 15-16, 22-23, 29-30</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Декабрь: 6-7, 13-14, 20-21, 27-28</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br w:type="textWrapping"/>
      </w:r>
      <w:r w:rsidDel="00000000" w:rsidR="00000000" w:rsidRPr="00000000">
        <w:rPr>
          <w:b w:val="1"/>
          <w:rtl w:val="0"/>
        </w:rPr>
        <w:t xml:space="preserve">ПРАЗДНИЧНЫЕ ЗАЕЗДЫ:</w:t>
        <w:br w:type="textWrapping"/>
      </w:r>
      <w:r w:rsidDel="00000000" w:rsidR="00000000" w:rsidRPr="00000000">
        <w:rPr>
          <w:rtl w:val="0"/>
        </w:rPr>
        <w:t xml:space="preserve">Январь: 4-5,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Февраль: 22-23</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Март: 8-9</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Май: 3-4, 10-11</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Июнь: 14-15</w:t>
        <w:br w:type="textWrapping"/>
        <w:t xml:space="preserve">Ноябрь: 1-2</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b w:val="1"/>
          <w:color w:val="161616"/>
          <w:sz w:val="20"/>
          <w:szCs w:val="20"/>
        </w:rPr>
      </w:pPr>
      <w:r w:rsidDel="00000000" w:rsidR="00000000" w:rsidRPr="00000000">
        <w:rPr>
          <w:rtl w:val="0"/>
        </w:rPr>
        <w:t xml:space="preserve">Декабрь: 27-28</w:t>
        <w:br w:type="textWrapping"/>
        <w:br w:type="textWrapping"/>
        <w:br w:type="textWrapping"/>
      </w:r>
      <w:r w:rsidDel="00000000" w:rsidR="00000000" w:rsidRPr="00000000">
        <w:rPr>
          <w:b w:val="1"/>
          <w:color w:val="161616"/>
          <w:sz w:val="20"/>
          <w:szCs w:val="20"/>
          <w:u w:val="single"/>
          <w:rtl w:val="0"/>
        </w:rPr>
        <w:t xml:space="preserve">1 день</w:t>
      </w:r>
      <w:r w:rsidDel="00000000" w:rsidR="00000000" w:rsidRPr="00000000">
        <w:rPr>
          <w:b w:val="1"/>
          <w:color w:val="161616"/>
          <w:sz w:val="20"/>
          <w:szCs w:val="20"/>
          <w:rtl w:val="0"/>
        </w:rPr>
        <w:t xml:space="preserve">: </w:t>
        <w:br w:type="textWrapping"/>
        <w:t xml:space="preserve">Прибытие </w:t>
      </w:r>
      <w:r w:rsidDel="00000000" w:rsidR="00000000" w:rsidRPr="00000000">
        <w:rPr>
          <w:color w:val="161616"/>
          <w:sz w:val="20"/>
          <w:szCs w:val="20"/>
          <w:rtl w:val="0"/>
        </w:rPr>
        <w:t xml:space="preserve">в Смоленск. </w:t>
        <w:br w:type="textWrapping"/>
      </w:r>
      <w:r w:rsidDel="00000000" w:rsidR="00000000" w:rsidRPr="00000000">
        <w:rPr>
          <w:b w:val="1"/>
          <w:color w:val="161616"/>
          <w:sz w:val="20"/>
          <w:szCs w:val="20"/>
          <w:rtl w:val="0"/>
        </w:rPr>
        <w:t xml:space="preserve">Самостоятельное размещение в гостинице. </w:t>
        <w:br w:type="textWrapping"/>
        <w:t xml:space="preserve">Обзорная экскурсия «На днепровских холмах»</w:t>
      </w:r>
      <w:r w:rsidDel="00000000" w:rsidR="00000000" w:rsidRPr="00000000">
        <w:rPr>
          <w:color w:val="161616"/>
          <w:sz w:val="20"/>
          <w:szCs w:val="20"/>
          <w:rtl w:val="0"/>
        </w:rPr>
        <w:t xml:space="preserve"> (знакомство с многовековой историей Смоленска): Вы узнаете о городе с момента первого упоминания в летописях по настоящее время, увидите панораму города со смотровой  площадки Соборного холма, храмово-архитектурный комплекс Соборного холма, посетите Свято-Успенский кафедральный Собор. Вас ждут величественные памятники и уникальная Смоленская крепостная стена, которую Борис Годунов назвал «ожерельем всея Руси». Памятник защитникам Смоленска 4-5 августа 1812 г., памятник Героям 1812 г. или «памятник с орлами», памятник М.И.Глинке, Вечный огонь в сквере памяти Героев, памятник поэту А. Твардовскому и его знаменитому литературному герою Василию Теркину. Услышите рассказ о знаменитых смолянах - первом космонавте Ю.А.Гагарине, путешественнике Н.М.Пржевальском, адмирале П.С.Нахимове, поэтах М.В.Исаковском и Н.М.Рыленкове, скульпторе С.Т.Коненкове и мн. др. </w:t>
        <w:br w:type="textWrapping"/>
      </w:r>
      <w:r w:rsidDel="00000000" w:rsidR="00000000" w:rsidRPr="00000000">
        <w:rPr>
          <w:b w:val="1"/>
          <w:color w:val="161616"/>
          <w:sz w:val="20"/>
          <w:szCs w:val="20"/>
          <w:rtl w:val="0"/>
        </w:rPr>
        <w:t xml:space="preserve">Экскурсия в Исторический музей. </w:t>
      </w:r>
      <w:r w:rsidDel="00000000" w:rsidR="00000000" w:rsidRPr="00000000">
        <w:rPr>
          <w:color w:val="1a1a1a"/>
          <w:sz w:val="20"/>
          <w:szCs w:val="20"/>
          <w:rtl w:val="0"/>
        </w:rPr>
        <w:t xml:space="preserve">Вы посетите о</w:t>
      </w:r>
      <w:r w:rsidDel="00000000" w:rsidR="00000000" w:rsidRPr="00000000">
        <w:rPr>
          <w:color w:val="1a1a1a"/>
          <w:sz w:val="20"/>
          <w:szCs w:val="20"/>
          <w:rtl w:val="0"/>
        </w:rPr>
        <w:t xml:space="preserve">дин из старейших музеев Смоленска, экспозиция которого охватывает период с древнейших времен до середины XIX века. В нескольких просторных залах музея представлены оригинальные экспонаты, найденные на территории Смоленской области (огромный скелет мамонта, знаменитейшая амфора-корчага и стальные мечи X века, монеты, берестяные грамоты. Вы также увидите кольчуги татаро-монгольских и русских воинов, образцы кирпичей, деревянных свай и орудий, использовавшихся при строительстве Смоленской крепостной стены в 1596-1602 и множество других исторических артефактов. </w:t>
        <w:br w:type="textWrapping"/>
        <w:br w:type="textWrapping"/>
        <w:br w:type="textWrapping"/>
        <w:br w:type="textWrapping"/>
      </w:r>
      <w:r w:rsidDel="00000000" w:rsidR="00000000" w:rsidRPr="00000000">
        <w:rPr>
          <w:b w:val="1"/>
          <w:color w:val="161616"/>
          <w:sz w:val="21"/>
          <w:szCs w:val="21"/>
          <w:u w:val="single"/>
          <w:rtl w:val="0"/>
        </w:rPr>
        <w:t xml:space="preserve">2 день</w:t>
      </w:r>
      <w:r w:rsidDel="00000000" w:rsidR="00000000" w:rsidRPr="00000000">
        <w:rPr>
          <w:b w:val="1"/>
          <w:color w:val="161616"/>
          <w:sz w:val="21"/>
          <w:szCs w:val="21"/>
          <w:rtl w:val="0"/>
        </w:rPr>
        <w:t xml:space="preserve">: </w:t>
        <w:br w:type="textWrapping"/>
      </w:r>
      <w:r w:rsidDel="00000000" w:rsidR="00000000" w:rsidRPr="00000000">
        <w:rPr>
          <w:b w:val="1"/>
          <w:color w:val="161616"/>
          <w:sz w:val="20"/>
          <w:szCs w:val="20"/>
          <w:rtl w:val="0"/>
        </w:rPr>
        <w:t xml:space="preserve">Завтрак в гостинице. </w:t>
        <w:br w:type="textWrapping"/>
      </w:r>
      <w:r w:rsidDel="00000000" w:rsidR="00000000" w:rsidRPr="00000000">
        <w:rPr>
          <w:b w:val="1"/>
          <w:color w:val="161616"/>
          <w:sz w:val="20"/>
          <w:szCs w:val="20"/>
          <w:rtl w:val="0"/>
        </w:rPr>
        <w:t xml:space="preserve">Загородная экскурсия в Талашкино и Флёново.  Переезд</w:t>
      </w:r>
      <w:r w:rsidDel="00000000" w:rsidR="00000000" w:rsidRPr="00000000">
        <w:rPr>
          <w:color w:val="161616"/>
          <w:sz w:val="20"/>
          <w:szCs w:val="20"/>
          <w:rtl w:val="0"/>
        </w:rPr>
        <w:t xml:space="preserve"> в Талашкино  (20 км). </w:t>
        <w:br w:type="textWrapping"/>
      </w:r>
      <w:r w:rsidDel="00000000" w:rsidR="00000000" w:rsidRPr="00000000">
        <w:rPr>
          <w:b w:val="1"/>
          <w:color w:val="161616"/>
          <w:sz w:val="20"/>
          <w:szCs w:val="20"/>
          <w:rtl w:val="0"/>
        </w:rPr>
        <w:t xml:space="preserve">В Талашкино </w:t>
      </w:r>
      <w:r w:rsidDel="00000000" w:rsidR="00000000" w:rsidRPr="00000000">
        <w:rPr>
          <w:color w:val="161616"/>
          <w:sz w:val="20"/>
          <w:szCs w:val="20"/>
          <w:rtl w:val="0"/>
        </w:rPr>
        <w:t xml:space="preserve">на рубеже XIX и XX веков  известная меценатка М.К.Тенишева создала своеобразный культурно-художественный центр. Здесь работали художники Репин и Врубель, Коровин и Рерих, Бенуа и Васнецов, здесь композитор Стравинский трудился над балетом «Весна священная», здесь бывал Шаляпин… Вы полюбуетесь великолепной смальтовой мозаикой «Спас Нерукотворный» над порталом церкви Святого Духа, которая создана по эскизам Н.К. Рериха, который целый период жизни провел в Талашкино. </w:t>
        <w:br w:type="textWrapping"/>
      </w:r>
      <w:r w:rsidDel="00000000" w:rsidR="00000000" w:rsidRPr="00000000">
        <w:rPr>
          <w:b w:val="1"/>
          <w:color w:val="161616"/>
          <w:sz w:val="20"/>
          <w:szCs w:val="20"/>
          <w:rtl w:val="0"/>
        </w:rPr>
        <w:t xml:space="preserve">Во Флёново</w:t>
      </w:r>
      <w:r w:rsidDel="00000000" w:rsidR="00000000" w:rsidRPr="00000000">
        <w:rPr>
          <w:color w:val="161616"/>
          <w:sz w:val="20"/>
          <w:szCs w:val="20"/>
          <w:rtl w:val="0"/>
        </w:rPr>
        <w:t xml:space="preserve">, находится «Историко-архитектурный комплекс «Теремок», здесь Вы увидите изделия талашкинских мастеров и, конечно, всемирно известную мебель, изготовленную по эскизам С.В. Малютина, а также акварели Врубеля, керамику Рериха и расписные балалайки. Вы узнаете, что именно здесь была расписана первая матрешка!  Вы посетите здание бывшей сельскохозяйственной школы и класс, где учили крестьянских детей и представлены предметы народно-прикладного искусства. </w:t>
      </w:r>
      <w:r w:rsidDel="00000000" w:rsidR="00000000" w:rsidRPr="00000000">
        <w:rPr>
          <w:b w:val="1"/>
          <w:color w:val="161616"/>
          <w:sz w:val="20"/>
          <w:szCs w:val="20"/>
          <w:rtl w:val="0"/>
        </w:rPr>
        <w:br w:type="textWrapping"/>
      </w:r>
      <w:r w:rsidDel="00000000" w:rsidR="00000000" w:rsidRPr="00000000">
        <w:rPr>
          <w:color w:val="161616"/>
          <w:sz w:val="20"/>
          <w:szCs w:val="20"/>
          <w:rtl w:val="0"/>
        </w:rPr>
        <w:t xml:space="preserve">Посещение </w:t>
      </w:r>
      <w:r w:rsidDel="00000000" w:rsidR="00000000" w:rsidRPr="00000000">
        <w:rPr>
          <w:color w:val="1a1a1a"/>
          <w:sz w:val="20"/>
          <w:szCs w:val="20"/>
          <w:rtl w:val="0"/>
        </w:rPr>
        <w:t xml:space="preserve">Художественной галереи. В галерее представлены экспозиции как русского, так и западноевропейского искусства. Основу экспозиции составляет отечественное искусство, древнерусские иконы и деревянная скульптура XV-XVIII вв., русское искусство XVIII-ХХ вв., творчество современников. Вы увидите полотна Куинджи, Тропинина, Левитана, Репина, Айвазовского, Серова, Коровина, Шишкина, Сурикова. </w:t>
        <w:br w:type="textWrapping"/>
      </w:r>
      <w:r w:rsidDel="00000000" w:rsidR="00000000" w:rsidRPr="00000000">
        <w:rPr>
          <w:b w:val="1"/>
          <w:color w:val="161616"/>
          <w:sz w:val="20"/>
          <w:szCs w:val="20"/>
          <w:rtl w:val="0"/>
        </w:rPr>
        <w:t xml:space="preserve">Свободное время.</w:t>
        <w:br w:type="textWrapping"/>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b w:val="1"/>
          <w:color w:val="161616"/>
          <w:sz w:val="20"/>
          <w:szCs w:val="20"/>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ind w:left="4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8"/>
          <w:szCs w:val="8"/>
          <w:u w:val="single"/>
        </w:rPr>
      </w:pPr>
      <w:r w:rsidDel="00000000" w:rsidR="00000000" w:rsidRPr="00000000">
        <w:rPr>
          <w:rFonts w:ascii="Times New Roman" w:cs="Times New Roman" w:eastAsia="Times New Roman" w:hAnsi="Times New Roman"/>
          <w:sz w:val="8"/>
          <w:szCs w:val="8"/>
          <w:u w:val="single"/>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rPr>
      </w:pPr>
      <w:r w:rsidDel="00000000" w:rsidR="00000000" w:rsidRPr="00000000">
        <w:rPr>
          <w:b w:val="1"/>
          <w:sz w:val="20"/>
          <w:szCs w:val="20"/>
          <w:rtl w:val="0"/>
        </w:rPr>
        <w:t xml:space="preserve">ФИРМА ОСТАВЛЯЕТ ЗА СОБОЙ ПРАВО ИЗМЕНЯТЬ ПОРЯДОК ПРОВЕДЕНИЯ ЭКСКУРСИЙ</w:t>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СТОИМОСТЬ ТУРА на 1 человека:  </w:t>
      </w:r>
      <w:r w:rsidDel="00000000" w:rsidR="00000000" w:rsidRPr="00000000">
        <w:rPr>
          <w:sz w:val="20"/>
          <w:szCs w:val="20"/>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2F">
      <w:pPr>
        <w:ind w:left="-1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1.540491796069"/>
        <w:gridCol w:w="3163.9713192275553"/>
        <w:tblGridChange w:id="0">
          <w:tblGrid>
            <w:gridCol w:w="5861.540491796069"/>
            <w:gridCol w:w="3163.9713192275553"/>
          </w:tblGrid>
        </w:tblGridChange>
      </w:tblGrid>
      <w:tr>
        <w:trPr>
          <w:cantSplit w:val="0"/>
          <w:trHeight w:val="34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jc w:val="center"/>
              <w:rPr>
                <w:b w:val="1"/>
              </w:rPr>
            </w:pPr>
            <w:r w:rsidDel="00000000" w:rsidR="00000000" w:rsidRPr="00000000">
              <w:rPr>
                <w:b w:val="1"/>
                <w:rtl w:val="0"/>
              </w:rPr>
              <w:t xml:space="preserve">гостиница «Респект»</w:t>
            </w:r>
          </w:p>
        </w:tc>
      </w:tr>
      <w:tr>
        <w:trPr>
          <w:cantSplit w:val="0"/>
          <w:trHeight w:val="330" w:hRule="atLeast"/>
          <w:tblHeader w:val="0"/>
        </w:trPr>
        <w:tc>
          <w:tcPr>
            <w:tcBorders>
              <w:top w:color="000000" w:space="0" w:sz="8" w:val="single"/>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rPr/>
            </w:pPr>
            <w:r w:rsidDel="00000000" w:rsidR="00000000" w:rsidRPr="00000000">
              <w:rPr>
                <w:rtl w:val="0"/>
              </w:rPr>
              <w:t xml:space="preserve">2-местный номер стандарт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jc w:val="center"/>
              <w:rPr>
                <w:i w:val="1"/>
              </w:rPr>
            </w:pPr>
            <w:r w:rsidDel="00000000" w:rsidR="00000000" w:rsidRPr="00000000">
              <w:rPr>
                <w:i w:val="1"/>
                <w:color w:val="1a1a1a"/>
                <w:sz w:val="23"/>
                <w:szCs w:val="23"/>
                <w:highlight w:val="white"/>
                <w:rtl w:val="0"/>
              </w:rPr>
              <w:t xml:space="preserve">12850</w:t>
            </w:r>
            <w:r w:rsidDel="00000000" w:rsidR="00000000" w:rsidRPr="00000000">
              <w:rPr>
                <w:rtl w:val="0"/>
              </w:rPr>
            </w:r>
          </w:p>
        </w:tc>
      </w:tr>
      <w:tr>
        <w:trPr>
          <w:cantSplit w:val="0"/>
          <w:trHeight w:val="330" w:hRule="atLeast"/>
          <w:tblHeader w:val="0"/>
        </w:trPr>
        <w:tc>
          <w:tcPr>
            <w:gridSpan w:val="2"/>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jc w:val="center"/>
              <w:rPr/>
            </w:pPr>
            <w:r w:rsidDel="00000000" w:rsidR="00000000" w:rsidRPr="00000000">
              <w:rPr>
                <w:b w:val="1"/>
                <w:rtl w:val="0"/>
              </w:rPr>
              <w:t xml:space="preserve">гостиница «Аврора»</w:t>
            </w:r>
            <w:r w:rsidDel="00000000" w:rsidR="00000000" w:rsidRPr="00000000">
              <w:rPr>
                <w:rtl w:val="0"/>
              </w:rPr>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rPr/>
            </w:pPr>
            <w:r w:rsidDel="00000000" w:rsidR="00000000" w:rsidRPr="00000000">
              <w:rPr>
                <w:rtl w:val="0"/>
              </w:rPr>
              <w:t xml:space="preserve">2-местный номер стандарт  </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jc w:val="center"/>
              <w:rPr>
                <w:i w:val="1"/>
              </w:rPr>
            </w:pPr>
            <w:r w:rsidDel="00000000" w:rsidR="00000000" w:rsidRPr="00000000">
              <w:rPr>
                <w:i w:val="1"/>
                <w:color w:val="1a1a1a"/>
                <w:sz w:val="23"/>
                <w:szCs w:val="23"/>
                <w:highlight w:val="white"/>
                <w:rtl w:val="0"/>
              </w:rPr>
              <w:t xml:space="preserve">13450</w:t>
            </w:r>
            <w:r w:rsidDel="00000000" w:rsidR="00000000" w:rsidRPr="00000000">
              <w:rPr>
                <w:rtl w:val="0"/>
              </w:rPr>
            </w:r>
          </w:p>
        </w:tc>
      </w:tr>
      <w:tr>
        <w:trPr>
          <w:cantSplit w:val="0"/>
          <w:trHeight w:val="375"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jc w:val="center"/>
              <w:rPr>
                <w:b w:val="1"/>
              </w:rPr>
            </w:pPr>
            <w:r w:rsidDel="00000000" w:rsidR="00000000" w:rsidRPr="00000000">
              <w:rPr>
                <w:b w:val="1"/>
                <w:rtl w:val="0"/>
              </w:rPr>
              <w:t xml:space="preserve">гостиница «Смоленскотель» </w:t>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rPr/>
            </w:pPr>
            <w:r w:rsidDel="00000000" w:rsidR="00000000" w:rsidRPr="00000000">
              <w:rPr>
                <w:rtl w:val="0"/>
              </w:rPr>
              <w:t xml:space="preserve">2-местный номер стандарт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jc w:val="center"/>
              <w:rPr>
                <w:i w:val="1"/>
              </w:rPr>
            </w:pPr>
            <w:r w:rsidDel="00000000" w:rsidR="00000000" w:rsidRPr="00000000">
              <w:rPr>
                <w:i w:val="1"/>
                <w:color w:val="1a1a1a"/>
                <w:sz w:val="23"/>
                <w:szCs w:val="23"/>
                <w:highlight w:val="white"/>
                <w:rtl w:val="0"/>
              </w:rPr>
              <w:t xml:space="preserve">14090</w:t>
            </w:r>
            <w:r w:rsidDel="00000000" w:rsidR="00000000" w:rsidRPr="00000000">
              <w:rPr>
                <w:rtl w:val="0"/>
              </w:rPr>
            </w:r>
          </w:p>
        </w:tc>
      </w:tr>
      <w:tr>
        <w:trPr>
          <w:cantSplit w:val="0"/>
          <w:trHeight w:val="330" w:hRule="atLeast"/>
          <w:tblHeader w:val="0"/>
        </w:trPr>
        <w:tc>
          <w:tcPr>
            <w:gridSpan w:val="2"/>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jc w:val="center"/>
              <w:rPr>
                <w:b w:val="1"/>
              </w:rPr>
            </w:pPr>
            <w:r w:rsidDel="00000000" w:rsidR="00000000" w:rsidRPr="00000000">
              <w:rPr>
                <w:b w:val="1"/>
                <w:color w:val="1a1a1a"/>
                <w:sz w:val="23"/>
                <w:szCs w:val="23"/>
                <w:highlight w:val="white"/>
                <w:rtl w:val="0"/>
              </w:rPr>
              <w:t xml:space="preserve">Отель «Пестриков» 4*</w:t>
            </w:r>
            <w:r w:rsidDel="00000000" w:rsidR="00000000" w:rsidRPr="00000000">
              <w:rPr>
                <w:rtl w:val="0"/>
              </w:rPr>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rPr/>
            </w:pPr>
            <w:r w:rsidDel="00000000" w:rsidR="00000000" w:rsidRPr="00000000">
              <w:rPr>
                <w:rtl w:val="0"/>
              </w:rPr>
              <w:t xml:space="preserve">2-местный номер стандарт  </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jc w:val="center"/>
              <w:rPr>
                <w:i w:val="1"/>
              </w:rPr>
            </w:pPr>
            <w:r w:rsidDel="00000000" w:rsidR="00000000" w:rsidRPr="00000000">
              <w:rPr>
                <w:i w:val="1"/>
                <w:color w:val="1a1a1a"/>
                <w:sz w:val="23"/>
                <w:szCs w:val="23"/>
                <w:highlight w:val="white"/>
                <w:rtl w:val="0"/>
              </w:rPr>
              <w:t xml:space="preserve">15970</w:t>
            </w:r>
            <w:r w:rsidDel="00000000" w:rsidR="00000000" w:rsidRPr="00000000">
              <w:rPr>
                <w:rtl w:val="0"/>
              </w:rPr>
            </w:r>
          </w:p>
        </w:tc>
      </w:tr>
      <w:tr>
        <w:trPr>
          <w:cantSplit w:val="0"/>
          <w:trHeight w:val="330" w:hRule="atLeast"/>
          <w:tblHeader w:val="0"/>
        </w:trPr>
        <w:tc>
          <w:tcPr>
            <w:gridSpan w:val="2"/>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0">
            <w:pPr>
              <w:jc w:val="center"/>
              <w:rPr>
                <w:b w:val="1"/>
              </w:rPr>
            </w:pPr>
            <w:r w:rsidDel="00000000" w:rsidR="00000000" w:rsidRPr="00000000">
              <w:rPr>
                <w:b w:val="1"/>
                <w:color w:val="1a1a1a"/>
                <w:sz w:val="23"/>
                <w:szCs w:val="23"/>
                <w:highlight w:val="white"/>
                <w:rtl w:val="0"/>
              </w:rPr>
              <w:t xml:space="preserve">Гранд-отель «Мегаполис» 5*</w:t>
            </w:r>
            <w:r w:rsidDel="00000000" w:rsidR="00000000" w:rsidRPr="00000000">
              <w:rPr>
                <w:rtl w:val="0"/>
              </w:rPr>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rPr/>
            </w:pPr>
            <w:r w:rsidDel="00000000" w:rsidR="00000000" w:rsidRPr="00000000">
              <w:rPr>
                <w:rtl w:val="0"/>
              </w:rPr>
              <w:t xml:space="preserve">2-местный номер стандарт  </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jc w:val="center"/>
              <w:rPr>
                <w:i w:val="1"/>
              </w:rPr>
            </w:pPr>
            <w:r w:rsidDel="00000000" w:rsidR="00000000" w:rsidRPr="00000000">
              <w:rPr>
                <w:i w:val="1"/>
                <w:color w:val="1a1a1a"/>
                <w:sz w:val="23"/>
                <w:szCs w:val="23"/>
                <w:highlight w:val="white"/>
                <w:rtl w:val="0"/>
              </w:rPr>
              <w:t xml:space="preserve">15850</w:t>
            </w:r>
            <w:r w:rsidDel="00000000" w:rsidR="00000000" w:rsidRPr="00000000">
              <w:rPr>
                <w:rtl w:val="0"/>
              </w:rPr>
            </w:r>
          </w:p>
        </w:tc>
      </w:tr>
    </w:tbl>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В СТОИМОСТЬ ТУРА ВКЛЮЧЕНО:</w:t>
        <w:br w:type="textWrapping"/>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Проживание в отеле,</w:t>
        <w:br w:type="textWrapping"/>
        <w:t xml:space="preserve">- Питание: 1 завтрак,</w:t>
        <w:br w:type="textWrapping"/>
        <w:t xml:space="preserve">- Транспортное обслуживание: по программе,</w:t>
        <w:br w:type="textWrapping"/>
        <w:t xml:space="preserve">- Сопровождение профессиональным экскурсоводом: 2 дня,</w:t>
        <w:br w:type="textWrapping"/>
        <w:t xml:space="preserve">- Экскурсионное обслуживание и входные билеты: по программе.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В СТОИМОСТЬ ТУРА НЕ ВКЛЮЧЕНО: </w:t>
      </w:r>
      <w:r w:rsidDel="00000000" w:rsidR="00000000" w:rsidRPr="00000000">
        <w:rPr>
          <w:sz w:val="20"/>
          <w:szCs w:val="20"/>
          <w:rtl w:val="0"/>
        </w:rPr>
        <w:t xml:space="preserve">ЖД проезд «Москва — Смоленск — Москва»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aduk.ru/" TargetMode="External"/><Relationship Id="rId7" Type="http://schemas.openxmlformats.org/officeDocument/2006/relationships/hyperlink" Target="https://www.viaduk.ru/travel/vykhodnye-v-smolens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